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5583F" w14:paraId="321CDB98" w14:textId="77777777" w:rsidTr="0065583F">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5583F" w14:paraId="1D980B8F" w14:textId="77777777">
              <w:trPr>
                <w:tblCellSpacing w:w="0" w:type="dxa"/>
              </w:trPr>
              <w:tc>
                <w:tcPr>
                  <w:tcW w:w="9750" w:type="dxa"/>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583F" w14:paraId="5276D21C" w14:textId="77777777">
                    <w:trPr>
                      <w:tblCellSpacing w:w="0" w:type="dxa"/>
                    </w:trPr>
                    <w:tc>
                      <w:tcPr>
                        <w:tcW w:w="9750" w:type="dxa"/>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5583F" w14:paraId="45AC019E" w14:textId="77777777">
                          <w:trPr>
                            <w:tblCellSpacing w:w="0" w:type="dxa"/>
                          </w:trPr>
                          <w:tc>
                            <w:tcPr>
                              <w:tcW w:w="9750" w:type="dxa"/>
                              <w:hideMark/>
                            </w:tcPr>
                            <w:tbl>
                              <w:tblPr>
                                <w:tblW w:w="2508" w:type="pct"/>
                                <w:tblCellSpacing w:w="0" w:type="dxa"/>
                                <w:tblCellMar>
                                  <w:left w:w="0" w:type="dxa"/>
                                  <w:right w:w="0" w:type="dxa"/>
                                </w:tblCellMar>
                                <w:tblLook w:val="04A0" w:firstRow="1" w:lastRow="0" w:firstColumn="1" w:lastColumn="0" w:noHBand="0" w:noVBand="1"/>
                              </w:tblPr>
                              <w:tblGrid>
                                <w:gridCol w:w="4891"/>
                              </w:tblGrid>
                              <w:tr w:rsidR="0065583F" w14:paraId="35249ED6" w14:textId="77777777" w:rsidTr="0065583F">
                                <w:trPr>
                                  <w:tblCellSpacing w:w="0" w:type="dxa"/>
                                </w:trPr>
                                <w:tc>
                                  <w:tcPr>
                                    <w:tcW w:w="4890" w:type="dxa"/>
                                    <w:hideMark/>
                                  </w:tcPr>
                                  <w:tbl>
                                    <w:tblPr>
                                      <w:tblW w:w="5000" w:type="pct"/>
                                      <w:tblCellSpacing w:w="0" w:type="dxa"/>
                                      <w:tblCellMar>
                                        <w:left w:w="0" w:type="dxa"/>
                                        <w:right w:w="0" w:type="dxa"/>
                                      </w:tblCellMar>
                                      <w:tblLook w:val="04A0" w:firstRow="1" w:lastRow="0" w:firstColumn="1" w:lastColumn="0" w:noHBand="0" w:noVBand="1"/>
                                    </w:tblPr>
                                    <w:tblGrid>
                                      <w:gridCol w:w="4891"/>
                                    </w:tblGrid>
                                    <w:tr w:rsidR="0065583F" w14:paraId="4126EBFC" w14:textId="77777777">
                                      <w:trPr>
                                        <w:tblCellSpacing w:w="0" w:type="dxa"/>
                                      </w:trPr>
                                      <w:tc>
                                        <w:tcPr>
                                          <w:tcW w:w="4890" w:type="dxa"/>
                                          <w:hideMark/>
                                        </w:tcPr>
                                        <w:p w14:paraId="16BFD98A" w14:textId="0E5A5A73" w:rsidR="0065583F" w:rsidRDefault="006B66BC" w:rsidP="0065583F">
                                          <w:r>
                                            <w:t>Click below for to view the recorded  presentation:</w:t>
                                          </w:r>
                                        </w:p>
                                        <w:p w14:paraId="5A671F41" w14:textId="25C8E4B1" w:rsidR="006B66BC" w:rsidRDefault="006B66BC" w:rsidP="0065583F">
                                          <w:r>
                                            <w:fldChar w:fldCharType="begin"/>
                                          </w:r>
                                          <w:r>
                                            <w:instrText xml:space="preserve"> HYPERLINK "https://wn.ubabenefits.com/Webinars/September-2020-Employer-Webinar?cid=799980b7-d0c4-4a9c-a7cc-8d7eeb4745cb" </w:instrText>
                                          </w:r>
                                          <w:r>
                                            <w:fldChar w:fldCharType="separate"/>
                                          </w:r>
                                          <w:r>
                                            <w:rPr>
                                              <w:rStyle w:val="Hyperlink"/>
                                            </w:rPr>
                                            <w:t>https://wn.ubabenefits.com/Webinars/September-2020-Employer-Webinar?cid=799980b7-d0c4-4a9c-a7cc-8d7eeb4745cb</w:t>
                                          </w:r>
                                          <w:r>
                                            <w:fldChar w:fldCharType="end"/>
                                          </w:r>
                                        </w:p>
                                      </w:tc>
                                    </w:tr>
                                  </w:tbl>
                                  <w:p w14:paraId="0D38078E" w14:textId="77777777" w:rsidR="0065583F" w:rsidRDefault="0065583F">
                                    <w:pPr>
                                      <w:rPr>
                                        <w:rFonts w:ascii="Times New Roman" w:eastAsia="Times New Roman" w:hAnsi="Times New Roman" w:cs="Times New Roman"/>
                                        <w:sz w:val="20"/>
                                        <w:szCs w:val="20"/>
                                      </w:rPr>
                                    </w:pPr>
                                  </w:p>
                                </w:tc>
                              </w:tr>
                            </w:tbl>
                            <w:p w14:paraId="58EE3675" w14:textId="77777777" w:rsidR="0065583F" w:rsidRDefault="0065583F">
                              <w:pPr>
                                <w:rPr>
                                  <w:rFonts w:ascii="Times New Roman" w:eastAsia="Times New Roman" w:hAnsi="Times New Roman" w:cs="Times New Roman"/>
                                  <w:sz w:val="20"/>
                                  <w:szCs w:val="20"/>
                                </w:rPr>
                              </w:pPr>
                            </w:p>
                          </w:tc>
                        </w:tr>
                      </w:tbl>
                      <w:p w14:paraId="72C6DF70" w14:textId="77777777" w:rsidR="0065583F" w:rsidRDefault="0065583F">
                        <w:pPr>
                          <w:rPr>
                            <w:rFonts w:ascii="Times New Roman" w:eastAsia="Times New Roman" w:hAnsi="Times New Roman" w:cs="Times New Roman"/>
                            <w:sz w:val="20"/>
                            <w:szCs w:val="20"/>
                          </w:rPr>
                        </w:pPr>
                      </w:p>
                    </w:tc>
                  </w:tr>
                </w:tbl>
                <w:p w14:paraId="336750EB" w14:textId="77777777" w:rsidR="0065583F" w:rsidRDefault="0065583F">
                  <w:pPr>
                    <w:rPr>
                      <w:rFonts w:ascii="Times New Roman" w:eastAsia="Times New Roman" w:hAnsi="Times New Roman" w:cs="Times New Roman"/>
                      <w:sz w:val="20"/>
                      <w:szCs w:val="20"/>
                    </w:rPr>
                  </w:pPr>
                </w:p>
              </w:tc>
            </w:tr>
            <w:tr w:rsidR="0065583F" w14:paraId="3A97F3DF" w14:textId="77777777">
              <w:trPr>
                <w:tblCellSpacing w:w="0" w:type="dxa"/>
              </w:trPr>
              <w:tc>
                <w:tcPr>
                  <w:tcW w:w="9450" w:type="dxa"/>
                  <w:tcMar>
                    <w:top w:w="150" w:type="dxa"/>
                    <w:left w:w="150" w:type="dxa"/>
                    <w:bottom w:w="150" w:type="dxa"/>
                    <w:right w:w="150" w:type="dxa"/>
                  </w:tcMar>
                  <w:hideMark/>
                </w:tcPr>
                <w:p w14:paraId="6D002BA9" w14:textId="77777777" w:rsidR="0065583F" w:rsidRDefault="0065583F">
                  <w:pPr>
                    <w:rPr>
                      <w:rFonts w:ascii="Times New Roman" w:eastAsia="Times New Roman" w:hAnsi="Times New Roman" w:cs="Times New Roman"/>
                      <w:sz w:val="20"/>
                      <w:szCs w:val="20"/>
                    </w:rPr>
                  </w:pPr>
                </w:p>
              </w:tc>
            </w:tr>
            <w:tr w:rsidR="0065583F" w14:paraId="55110425" w14:textId="77777777">
              <w:trPr>
                <w:tblCellSpacing w:w="0" w:type="dxa"/>
              </w:trPr>
              <w:tc>
                <w:tcPr>
                  <w:tcW w:w="9750" w:type="dxa"/>
                  <w:hideMark/>
                </w:tcPr>
                <w:p w14:paraId="7273870D" w14:textId="394F77BE" w:rsidR="0065583F" w:rsidRDefault="0065583F">
                  <w:pPr>
                    <w:jc w:val="center"/>
                  </w:pPr>
                  <w:r>
                    <w:rPr>
                      <w:noProof/>
                    </w:rPr>
                    <w:drawing>
                      <wp:inline distT="0" distB="0" distL="0" distR="0" wp14:anchorId="0F3182AA" wp14:editId="51EE2D5F">
                        <wp:extent cx="5943600" cy="322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27705"/>
                                </a:xfrm>
                                <a:prstGeom prst="rect">
                                  <a:avLst/>
                                </a:prstGeom>
                                <a:noFill/>
                                <a:ln>
                                  <a:noFill/>
                                </a:ln>
                              </pic:spPr>
                            </pic:pic>
                          </a:graphicData>
                        </a:graphic>
                      </wp:inline>
                    </w:drawing>
                  </w:r>
                </w:p>
              </w:tc>
            </w:tr>
            <w:tr w:rsidR="0065583F" w14:paraId="2C2A1F5E" w14:textId="77777777">
              <w:trPr>
                <w:tblCellSpacing w:w="0" w:type="dxa"/>
              </w:trPr>
              <w:tc>
                <w:tcPr>
                  <w:tcW w:w="9750" w:type="dxa"/>
                  <w:hideMark/>
                </w:tcPr>
                <w:tbl>
                  <w:tblPr>
                    <w:tblW w:w="5000" w:type="pct"/>
                    <w:tblCellSpacing w:w="0" w:type="dxa"/>
                    <w:tblCellMar>
                      <w:left w:w="0" w:type="dxa"/>
                      <w:right w:w="0" w:type="dxa"/>
                    </w:tblCellMar>
                    <w:tblLook w:val="04A0" w:firstRow="1" w:lastRow="0" w:firstColumn="1" w:lastColumn="0" w:noHBand="0" w:noVBand="1"/>
                  </w:tblPr>
                  <w:tblGrid>
                    <w:gridCol w:w="6720"/>
                    <w:gridCol w:w="3030"/>
                  </w:tblGrid>
                  <w:tr w:rsidR="0065583F" w14:paraId="1011A98A" w14:textId="77777777">
                    <w:trPr>
                      <w:tblCellSpacing w:w="0" w:type="dxa"/>
                    </w:trPr>
                    <w:tc>
                      <w:tcPr>
                        <w:tcW w:w="6720" w:type="dxa"/>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65583F" w14:paraId="547A750B" w14:textId="77777777">
                          <w:trPr>
                            <w:tblCellSpacing w:w="0" w:type="dxa"/>
                          </w:trPr>
                          <w:tc>
                            <w:tcPr>
                              <w:tcW w:w="6420" w:type="dxa"/>
                              <w:tcMar>
                                <w:top w:w="150" w:type="dxa"/>
                                <w:left w:w="150" w:type="dxa"/>
                                <w:bottom w:w="150" w:type="dxa"/>
                                <w:right w:w="150" w:type="dxa"/>
                              </w:tcMar>
                            </w:tcPr>
                            <w:p w14:paraId="08D8D430" w14:textId="77777777" w:rsidR="0065583F" w:rsidRDefault="0065583F">
                              <w:pPr>
                                <w:rPr>
                                  <w:rFonts w:ascii="Arial" w:hAnsi="Arial" w:cs="Arial"/>
                                  <w:sz w:val="18"/>
                                  <w:szCs w:val="18"/>
                                </w:rPr>
                              </w:pPr>
                              <w:r>
                                <w:rPr>
                                  <w:rFonts w:ascii="Arial" w:hAnsi="Arial" w:cs="Arial"/>
                                  <w:sz w:val="18"/>
                                  <w:szCs w:val="18"/>
                                </w:rPr>
                                <w:t> </w:t>
                              </w:r>
                            </w:p>
                            <w:p w14:paraId="0150F9A0" w14:textId="77777777" w:rsidR="0065583F" w:rsidRDefault="0065583F">
                              <w:pPr>
                                <w:pStyle w:val="NormalWeb"/>
                                <w:ind w:left="150"/>
                                <w:rPr>
                                  <w:rFonts w:ascii="Arial" w:hAnsi="Arial" w:cs="Arial"/>
                                  <w:sz w:val="18"/>
                                  <w:szCs w:val="18"/>
                                </w:rPr>
                              </w:pPr>
                              <w:r>
                                <w:rPr>
                                  <w:rFonts w:ascii="Arial" w:hAnsi="Arial" w:cs="Arial"/>
                                  <w:b/>
                                  <w:bCs/>
                                  <w:color w:val="001BBA"/>
                                  <w:sz w:val="30"/>
                                  <w:szCs w:val="30"/>
                                </w:rPr>
                                <w:t>Considerations for Employers Moving to an ICHRA Group Health Plan Offering</w:t>
                              </w:r>
                            </w:p>
                            <w:p w14:paraId="1A852DD8" w14:textId="77777777" w:rsidR="0065583F" w:rsidRDefault="0065583F">
                              <w:pPr>
                                <w:pStyle w:val="NormalWeb"/>
                                <w:ind w:left="150"/>
                                <w:rPr>
                                  <w:rStyle w:val="Strong"/>
                                  <w:sz w:val="24"/>
                                  <w:szCs w:val="24"/>
                                </w:rPr>
                              </w:pPr>
                              <w:r>
                                <w:rPr>
                                  <w:rStyle w:val="Strong"/>
                                  <w:rFonts w:ascii="Arial" w:hAnsi="Arial" w:cs="Arial"/>
                                  <w:color w:val="000000"/>
                                  <w:sz w:val="24"/>
                                  <w:szCs w:val="24"/>
                                </w:rPr>
                                <w:t xml:space="preserve">Tuesday, September 8, 2020 </w:t>
                              </w:r>
                              <w:r>
                                <w:rPr>
                                  <w:rFonts w:ascii="Arial" w:hAnsi="Arial" w:cs="Arial"/>
                                  <w:b/>
                                  <w:bCs/>
                                  <w:color w:val="000000"/>
                                  <w:sz w:val="24"/>
                                  <w:szCs w:val="24"/>
                                </w:rPr>
                                <w:br/>
                              </w:r>
                              <w:r>
                                <w:rPr>
                                  <w:rStyle w:val="Strong"/>
                                  <w:rFonts w:ascii="Arial" w:hAnsi="Arial" w:cs="Arial"/>
                                  <w:color w:val="000000"/>
                                  <w:sz w:val="24"/>
                                  <w:szCs w:val="24"/>
                                </w:rPr>
                                <w:t>2:00 p.m. ET / 11:00 a.m. PT</w:t>
                              </w:r>
                            </w:p>
                            <w:p w14:paraId="3FDA0B15" w14:textId="01E03585" w:rsidR="0065583F" w:rsidRDefault="0065583F" w:rsidP="0065583F">
                              <w:pPr>
                                <w:spacing w:before="100" w:beforeAutospacing="1" w:after="100" w:afterAutospacing="1"/>
                                <w:rPr>
                                  <w:rFonts w:ascii="Arial" w:hAnsi="Arial" w:cs="Arial"/>
                                  <w:sz w:val="18"/>
                                  <w:szCs w:val="18"/>
                                </w:rPr>
                              </w:pPr>
                              <w:r>
                                <w:rPr>
                                  <w:rFonts w:ascii="Arial" w:hAnsi="Arial" w:cs="Arial"/>
                                  <w:sz w:val="21"/>
                                  <w:szCs w:val="21"/>
                                </w:rPr>
                                <w:t>This month's webinar will provide an overview of the final rules on health reimbursement arrangements regarding individual coverage health reimbursement arrangements and the proposed rules regarding nondiscrimination and affordability. We will also discuss best practices for employers considering offering an individual coverage health reimbursement arrangement instead of a traditional group health plan to employees.</w:t>
                              </w:r>
                            </w:p>
                            <w:p w14:paraId="2AE800DE" w14:textId="77777777" w:rsidR="0065583F" w:rsidRDefault="0065583F">
                              <w:pPr>
                                <w:pStyle w:val="NormalWeb"/>
                                <w:ind w:left="150"/>
                                <w:rPr>
                                  <w:rFonts w:ascii="Arial" w:hAnsi="Arial" w:cs="Arial"/>
                                  <w:sz w:val="18"/>
                                  <w:szCs w:val="18"/>
                                </w:rPr>
                              </w:pPr>
                              <w:r>
                                <w:rPr>
                                  <w:rFonts w:ascii="Arial" w:hAnsi="Arial" w:cs="Arial"/>
                                  <w:sz w:val="21"/>
                                  <w:szCs w:val="21"/>
                                </w:rPr>
                                <w:t>This webinar will:</w:t>
                              </w:r>
                            </w:p>
                            <w:p w14:paraId="21760F21"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Describe what a health reimbursement arrangement (HRA) is</w:t>
                              </w:r>
                            </w:p>
                            <w:p w14:paraId="492F2D98"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Describe the new individual coverage HRA (ICHRA)</w:t>
                              </w:r>
                            </w:p>
                            <w:p w14:paraId="31F4FA6F"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 xml:space="preserve">Describe the types of individual coverage that can and cannot be integrated with an HRA and when an individual </w:t>
                              </w:r>
                              <w:r>
                                <w:rPr>
                                  <w:rFonts w:ascii="Arial" w:eastAsia="Times New Roman" w:hAnsi="Arial" w:cs="Arial"/>
                                  <w:sz w:val="21"/>
                                  <w:szCs w:val="21"/>
                                </w:rPr>
                                <w:lastRenderedPageBreak/>
                                <w:t>must be enrolled in the individual coverage to be eligible for an ICHRA</w:t>
                              </w:r>
                            </w:p>
                            <w:p w14:paraId="1E38427A"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Illustrate how the integration rules apply to an ICHRA that is integrated with Medicare, emphasizing that Medicare eligible or entitled employees is not a class under the final rules</w:t>
                              </w:r>
                            </w:p>
                            <w:p w14:paraId="6F5B071A"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Explain how an employer would structure an ICHRA compared to a traditional group health plan, including the nondiscrimination rules, classes of employees, minimum class size, opt-out and reimbursement waiver provisions, individual coverage substantiation, and notice requirements</w:t>
                              </w:r>
                            </w:p>
                            <w:p w14:paraId="122C66E9"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Describe how Section 105(h) nondiscrimination applies to ICHRAs, including the exceptions for increases in HRA amounts due to age and family size</w:t>
                              </w:r>
                            </w:p>
                            <w:p w14:paraId="4C74B2DD"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 xml:space="preserve">Describe how the ICHRA interacts with the employer shared responsibility provisions, including the affordability safe harbors and the new look-back month safe harbor and location safe harbor </w:t>
                              </w:r>
                            </w:p>
                            <w:p w14:paraId="33FEA74C" w14:textId="77777777" w:rsidR="0065583F" w:rsidRDefault="0065583F" w:rsidP="00E079FA">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21"/>
                                  <w:szCs w:val="21"/>
                                </w:rPr>
                                <w:t xml:space="preserve">Describe best practices and considerations for an employer moving from a traditional group health plan offering to an ICHRA under the final rules and proposed rules </w:t>
                              </w:r>
                            </w:p>
                            <w:p w14:paraId="4B64CE5F" w14:textId="77777777" w:rsidR="0065583F" w:rsidRDefault="0065583F">
                              <w:pPr>
                                <w:pStyle w:val="NormalWeb"/>
                                <w:ind w:left="150"/>
                                <w:rPr>
                                  <w:rFonts w:ascii="Arial" w:hAnsi="Arial" w:cs="Arial"/>
                                  <w:sz w:val="18"/>
                                  <w:szCs w:val="18"/>
                                </w:rPr>
                              </w:pPr>
                              <w:r>
                                <w:rPr>
                                  <w:rFonts w:ascii="Arial" w:hAnsi="Arial" w:cs="Arial"/>
                                  <w:sz w:val="21"/>
                                  <w:szCs w:val="21"/>
                                </w:rPr>
                                <w:t>This 60-minute intermediate level webinar will help employers understand ICHRAs and considerations when offering an ICHRA compared to a traditional group health plan.</w:t>
                              </w:r>
                            </w:p>
                            <w:p w14:paraId="4CC10437" w14:textId="77777777" w:rsidR="0065583F" w:rsidRDefault="0065583F">
                              <w:pPr>
                                <w:pStyle w:val="NormalWeb"/>
                                <w:ind w:left="150"/>
                                <w:rPr>
                                  <w:rFonts w:ascii="Arial" w:hAnsi="Arial" w:cs="Arial"/>
                                  <w:sz w:val="18"/>
                                  <w:szCs w:val="18"/>
                                </w:rPr>
                              </w:pPr>
                              <w:r>
                                <w:rPr>
                                  <w:rStyle w:val="Strong"/>
                                  <w:rFonts w:ascii="Arial" w:hAnsi="Arial" w:cs="Arial"/>
                                  <w:color w:val="001BBA"/>
                                  <w:sz w:val="21"/>
                                  <w:szCs w:val="21"/>
                                </w:rPr>
                                <w:t>PRESENTER</w:t>
                              </w:r>
                            </w:p>
                            <w:p w14:paraId="55D32266" w14:textId="77777777" w:rsidR="0065583F" w:rsidRDefault="006B66BC">
                              <w:pPr>
                                <w:pStyle w:val="NormalWeb"/>
                                <w:ind w:left="150"/>
                                <w:rPr>
                                  <w:rFonts w:ascii="Arial" w:hAnsi="Arial" w:cs="Arial"/>
                                  <w:sz w:val="21"/>
                                  <w:szCs w:val="21"/>
                                </w:rPr>
                              </w:pPr>
                              <w:hyperlink r:id="rId6" w:tgtFrame="_blank" w:history="1">
                                <w:r w:rsidR="0065583F">
                                  <w:rPr>
                                    <w:rStyle w:val="Hyperlink"/>
                                    <w:rFonts w:ascii="Arial" w:hAnsi="Arial" w:cs="Arial"/>
                                    <w:b/>
                                    <w:bCs/>
                                    <w:sz w:val="21"/>
                                    <w:szCs w:val="21"/>
                                  </w:rPr>
                                  <w:t>Lorie Maring</w:t>
                                </w:r>
                              </w:hyperlink>
                              <w:r w:rsidR="0065583F">
                                <w:rPr>
                                  <w:rFonts w:ascii="Arial" w:hAnsi="Arial" w:cs="Arial"/>
                                  <w:sz w:val="21"/>
                                  <w:szCs w:val="21"/>
                                </w:rPr>
                                <w:t xml:space="preserve"> is a partner in the Atlanta office and a member of the Employee Benefits Practice Group. She has extensive experience in all areas of employee benefits, including health and welfare programs, qualified and non-qualified retirement </w:t>
                              </w:r>
                              <w:proofErr w:type="gramStart"/>
                              <w:r w:rsidR="0065583F">
                                <w:rPr>
                                  <w:rFonts w:ascii="Arial" w:hAnsi="Arial" w:cs="Arial"/>
                                  <w:sz w:val="21"/>
                                  <w:szCs w:val="21"/>
                                </w:rPr>
                                <w:t>plans</w:t>
                              </w:r>
                              <w:proofErr w:type="gramEnd"/>
                              <w:r w:rsidR="0065583F">
                                <w:rPr>
                                  <w:rFonts w:ascii="Arial" w:hAnsi="Arial" w:cs="Arial"/>
                                  <w:sz w:val="21"/>
                                  <w:szCs w:val="21"/>
                                </w:rPr>
                                <w:t xml:space="preserve"> and executive compensation. She routinely advises employers, including non-profit and government employers, trade associations and employee benefit insurance and risk management consultants on the complex compliance and day-to-day issues arising under ERISA and other state and federal laws governing employee benefit plans and programs. Lorie also advises employers on compliance issues involving the Health Insurance Portability and Accountability Act (HIPAA) and Affordable Care Act (ACA), employment tax, the employee benefits and executive compensation aspects of mergers and acquisitions, and handling IRS and DOL audits and ACA penalty assessments.</w:t>
                              </w:r>
                            </w:p>
                            <w:p w14:paraId="23CB975C" w14:textId="41402B8A" w:rsidR="0065583F" w:rsidRDefault="0065583F">
                              <w:pPr>
                                <w:pStyle w:val="NormalWeb"/>
                                <w:ind w:left="150"/>
                                <w:rPr>
                                  <w:rFonts w:ascii="Arial" w:hAnsi="Arial" w:cs="Arial"/>
                                  <w:sz w:val="18"/>
                                  <w:szCs w:val="18"/>
                                </w:rPr>
                              </w:pPr>
                            </w:p>
                          </w:tc>
                        </w:tr>
                      </w:tbl>
                      <w:p w14:paraId="78E911EA" w14:textId="77777777" w:rsidR="0065583F" w:rsidRDefault="0065583F">
                        <w:pPr>
                          <w:rPr>
                            <w:rFonts w:ascii="Times New Roman" w:eastAsia="Times New Roman" w:hAnsi="Times New Roman" w:cs="Times New Roman"/>
                            <w:sz w:val="20"/>
                            <w:szCs w:val="20"/>
                          </w:rPr>
                        </w:pPr>
                      </w:p>
                    </w:tc>
                    <w:tc>
                      <w:tcPr>
                        <w:tcW w:w="3030" w:type="dxa"/>
                        <w:hideMark/>
                      </w:tcPr>
                      <w:tbl>
                        <w:tblPr>
                          <w:tblW w:w="5000" w:type="pct"/>
                          <w:tblCellSpacing w:w="0" w:type="dxa"/>
                          <w:tblCellMar>
                            <w:left w:w="0" w:type="dxa"/>
                            <w:right w:w="0" w:type="dxa"/>
                          </w:tblCellMar>
                          <w:tblLook w:val="04A0" w:firstRow="1" w:lastRow="0" w:firstColumn="1" w:lastColumn="0" w:noHBand="0" w:noVBand="1"/>
                        </w:tblPr>
                        <w:tblGrid>
                          <w:gridCol w:w="3030"/>
                        </w:tblGrid>
                        <w:tr w:rsidR="0065583F" w14:paraId="6E95055F" w14:textId="77777777">
                          <w:trPr>
                            <w:tblCellSpacing w:w="0" w:type="dxa"/>
                          </w:trPr>
                          <w:tc>
                            <w:tcPr>
                              <w:tcW w:w="2730" w:type="dxa"/>
                              <w:tcMar>
                                <w:top w:w="150" w:type="dxa"/>
                                <w:left w:w="150" w:type="dxa"/>
                                <w:bottom w:w="150" w:type="dxa"/>
                                <w:right w:w="150" w:type="dxa"/>
                              </w:tcMar>
                              <w:hideMark/>
                            </w:tcPr>
                            <w:p w14:paraId="206145EE" w14:textId="77777777" w:rsidR="0065583F" w:rsidRDefault="0065583F">
                              <w:pPr>
                                <w:rPr>
                                  <w:rFonts w:ascii="Arial" w:hAnsi="Arial" w:cs="Arial"/>
                                  <w:sz w:val="18"/>
                                  <w:szCs w:val="18"/>
                                </w:rPr>
                              </w:pPr>
                              <w:r>
                                <w:rPr>
                                  <w:rFonts w:ascii="Arial" w:hAnsi="Arial" w:cs="Arial"/>
                                  <w:sz w:val="18"/>
                                  <w:szCs w:val="18"/>
                                </w:rPr>
                                <w:lastRenderedPageBreak/>
                                <w:t> </w:t>
                              </w:r>
                            </w:p>
                            <w:p w14:paraId="4EC4821E" w14:textId="77777777" w:rsidR="0065583F" w:rsidRDefault="0065583F">
                              <w:pPr>
                                <w:rPr>
                                  <w:rFonts w:ascii="Arial" w:hAnsi="Arial" w:cs="Arial"/>
                                  <w:sz w:val="18"/>
                                  <w:szCs w:val="18"/>
                                </w:rPr>
                              </w:pPr>
                              <w:r>
                                <w:rPr>
                                  <w:rFonts w:ascii="Arial" w:hAnsi="Arial" w:cs="Arial"/>
                                  <w:sz w:val="18"/>
                                  <w:szCs w:val="18"/>
                                </w:rPr>
                                <w:t> </w:t>
                              </w:r>
                            </w:p>
                            <w:p w14:paraId="63C09DC0" w14:textId="57027784" w:rsidR="0065583F" w:rsidRDefault="0065583F">
                              <w:pPr>
                                <w:pStyle w:val="NormalWeb"/>
                                <w:jc w:val="center"/>
                                <w:rPr>
                                  <w:rFonts w:ascii="Arial" w:hAnsi="Arial" w:cs="Arial"/>
                                  <w:sz w:val="18"/>
                                  <w:szCs w:val="18"/>
                                </w:rPr>
                              </w:pPr>
                              <w:r>
                                <w:rPr>
                                  <w:rFonts w:ascii="Arial" w:hAnsi="Arial" w:cs="Arial"/>
                                  <w:noProof/>
                                  <w:sz w:val="18"/>
                                  <w:szCs w:val="18"/>
                                </w:rPr>
                                <w:drawing>
                                  <wp:inline distT="0" distB="0" distL="0" distR="0" wp14:anchorId="796E6D00" wp14:editId="6C8F782E">
                                    <wp:extent cx="11906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14425"/>
                                            </a:xfrm>
                                            <a:prstGeom prst="rect">
                                              <a:avLst/>
                                            </a:prstGeom>
                                            <a:noFill/>
                                            <a:ln>
                                              <a:noFill/>
                                            </a:ln>
                                          </pic:spPr>
                                        </pic:pic>
                                      </a:graphicData>
                                    </a:graphic>
                                  </wp:inline>
                                </w:drawing>
                              </w:r>
                            </w:p>
                            <w:p w14:paraId="6F70BB52" w14:textId="143CDAB2" w:rsidR="0065583F" w:rsidRDefault="0065583F">
                              <w:pPr>
                                <w:pStyle w:val="NormalWeb"/>
                                <w:jc w:val="center"/>
                                <w:rPr>
                                  <w:rFonts w:ascii="Arial" w:hAnsi="Arial" w:cs="Arial"/>
                                  <w:sz w:val="18"/>
                                  <w:szCs w:val="18"/>
                                </w:rPr>
                              </w:pPr>
                              <w:r>
                                <w:rPr>
                                  <w:rFonts w:ascii="Arial" w:hAnsi="Arial" w:cs="Arial"/>
                                  <w:noProof/>
                                  <w:sz w:val="18"/>
                                  <w:szCs w:val="18"/>
                                </w:rPr>
                                <w:drawing>
                                  <wp:inline distT="0" distB="0" distL="0" distR="0" wp14:anchorId="1C589083" wp14:editId="57D4A7F9">
                                    <wp:extent cx="11906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inline>
                                </w:drawing>
                              </w:r>
                            </w:p>
                            <w:p w14:paraId="52CF1A32" w14:textId="77777777" w:rsidR="0065583F" w:rsidRDefault="0065583F">
                              <w:pPr>
                                <w:pStyle w:val="NormalWeb"/>
                                <w:spacing w:line="210" w:lineRule="atLeast"/>
                                <w:rPr>
                                  <w:rFonts w:ascii="Arial" w:hAnsi="Arial" w:cs="Arial"/>
                                  <w:sz w:val="18"/>
                                  <w:szCs w:val="18"/>
                                </w:rPr>
                              </w:pPr>
                              <w:r>
                                <w:rPr>
                                  <w:rFonts w:ascii="Arial" w:hAnsi="Arial" w:cs="Arial"/>
                                  <w:sz w:val="18"/>
                                  <w:szCs w:val="18"/>
                                </w:rPr>
                                <w:br/>
                              </w:r>
                              <w:r>
                                <w:rPr>
                                  <w:rFonts w:ascii="Arial" w:hAnsi="Arial" w:cs="Arial"/>
                                  <w:color w:val="001BBA"/>
                                  <w:sz w:val="15"/>
                                  <w:szCs w:val="15"/>
                                </w:rPr>
                                <w:t xml:space="preserve">This series is brought to you by your Partner Firm of United Benefit Advisors—the nation's leading independent employee benefits advisory organization, with more than 200 Partner </w:t>
                              </w:r>
                              <w:r>
                                <w:rPr>
                                  <w:rFonts w:ascii="Arial" w:hAnsi="Arial" w:cs="Arial"/>
                                  <w:color w:val="001BBA"/>
                                  <w:sz w:val="15"/>
                                  <w:szCs w:val="15"/>
                                </w:rPr>
                                <w:lastRenderedPageBreak/>
                                <w:t xml:space="preserve">offices in the United States, Canada, </w:t>
                              </w:r>
                              <w:proofErr w:type="gramStart"/>
                              <w:r>
                                <w:rPr>
                                  <w:rFonts w:ascii="Arial" w:hAnsi="Arial" w:cs="Arial"/>
                                  <w:color w:val="001BBA"/>
                                  <w:sz w:val="15"/>
                                  <w:szCs w:val="15"/>
                                </w:rPr>
                                <w:t>England</w:t>
                              </w:r>
                              <w:proofErr w:type="gramEnd"/>
                              <w:r>
                                <w:rPr>
                                  <w:rFonts w:ascii="Arial" w:hAnsi="Arial" w:cs="Arial"/>
                                  <w:color w:val="001BBA"/>
                                  <w:sz w:val="15"/>
                                  <w:szCs w:val="15"/>
                                </w:rPr>
                                <w:t xml:space="preserve"> and Ireland.</w:t>
                              </w:r>
                            </w:p>
                            <w:p w14:paraId="6E2CCF19" w14:textId="77777777" w:rsidR="0065583F" w:rsidRDefault="0065583F">
                              <w:pPr>
                                <w:spacing w:line="210" w:lineRule="atLeast"/>
                                <w:rPr>
                                  <w:rFonts w:ascii="Arial" w:hAnsi="Arial" w:cs="Arial"/>
                                  <w:sz w:val="18"/>
                                  <w:szCs w:val="18"/>
                                </w:rPr>
                              </w:pPr>
                              <w:r>
                                <w:rPr>
                                  <w:rFonts w:ascii="Arial" w:hAnsi="Arial" w:cs="Arial"/>
                                  <w:sz w:val="18"/>
                                  <w:szCs w:val="18"/>
                                </w:rPr>
                                <w:t> </w:t>
                              </w:r>
                            </w:p>
                            <w:p w14:paraId="4811D13E" w14:textId="21A36356" w:rsidR="0065583F" w:rsidRDefault="0065583F">
                              <w:pPr>
                                <w:jc w:val="center"/>
                                <w:rPr>
                                  <w:rFonts w:ascii="Arial" w:hAnsi="Arial" w:cs="Arial"/>
                                  <w:sz w:val="18"/>
                                  <w:szCs w:val="18"/>
                                </w:rPr>
                              </w:pPr>
                              <w:r>
                                <w:rPr>
                                  <w:rFonts w:ascii="Arial" w:hAnsi="Arial" w:cs="Arial"/>
                                  <w:noProof/>
                                  <w:sz w:val="18"/>
                                  <w:szCs w:val="18"/>
                                </w:rPr>
                                <w:drawing>
                                  <wp:inline distT="0" distB="0" distL="0" distR="0" wp14:anchorId="0CACC0A5" wp14:editId="0D5C1BCE">
                                    <wp:extent cx="11906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295275"/>
                                            </a:xfrm>
                                            <a:prstGeom prst="rect">
                                              <a:avLst/>
                                            </a:prstGeom>
                                            <a:noFill/>
                                            <a:ln>
                                              <a:noFill/>
                                            </a:ln>
                                          </pic:spPr>
                                        </pic:pic>
                                      </a:graphicData>
                                    </a:graphic>
                                  </wp:inline>
                                </w:drawing>
                              </w:r>
                            </w:p>
                          </w:tc>
                        </w:tr>
                      </w:tbl>
                      <w:p w14:paraId="65FC0326" w14:textId="77777777" w:rsidR="0065583F" w:rsidRDefault="0065583F">
                        <w:pPr>
                          <w:rPr>
                            <w:rFonts w:ascii="Times New Roman" w:eastAsia="Times New Roman" w:hAnsi="Times New Roman" w:cs="Times New Roman"/>
                            <w:sz w:val="20"/>
                            <w:szCs w:val="20"/>
                          </w:rPr>
                        </w:pPr>
                      </w:p>
                    </w:tc>
                  </w:tr>
                </w:tbl>
                <w:p w14:paraId="10A1D9B8" w14:textId="77777777" w:rsidR="0065583F" w:rsidRDefault="0065583F">
                  <w:pPr>
                    <w:rPr>
                      <w:rFonts w:ascii="Times New Roman" w:eastAsia="Times New Roman" w:hAnsi="Times New Roman" w:cs="Times New Roman"/>
                      <w:sz w:val="20"/>
                      <w:szCs w:val="20"/>
                    </w:rPr>
                  </w:pPr>
                </w:p>
              </w:tc>
            </w:tr>
            <w:tr w:rsidR="0065583F" w14:paraId="5817E05A" w14:textId="77777777">
              <w:trPr>
                <w:tblCellSpacing w:w="0" w:type="dxa"/>
              </w:trPr>
              <w:tc>
                <w:tcPr>
                  <w:tcW w:w="9450" w:type="dxa"/>
                  <w:tcMar>
                    <w:top w:w="150" w:type="dxa"/>
                    <w:left w:w="150" w:type="dxa"/>
                    <w:bottom w:w="150" w:type="dxa"/>
                    <w:right w:w="150" w:type="dxa"/>
                  </w:tcMar>
                </w:tcPr>
                <w:p w14:paraId="6702237A" w14:textId="77777777" w:rsidR="0065583F" w:rsidRDefault="0065583F">
                  <w:pPr>
                    <w:jc w:val="center"/>
                    <w:rPr>
                      <w:rFonts w:ascii="Arial" w:hAnsi="Arial" w:cs="Arial"/>
                      <w:sz w:val="18"/>
                      <w:szCs w:val="18"/>
                    </w:rPr>
                  </w:pPr>
                </w:p>
              </w:tc>
            </w:tr>
            <w:tr w:rsidR="0065583F" w14:paraId="48E00892" w14:textId="77777777">
              <w:trPr>
                <w:tblCellSpacing w:w="0" w:type="dxa"/>
              </w:trPr>
              <w:tc>
                <w:tcPr>
                  <w:tcW w:w="9450" w:type="dxa"/>
                  <w:tcMar>
                    <w:top w:w="150" w:type="dxa"/>
                    <w:left w:w="150" w:type="dxa"/>
                    <w:bottom w:w="150" w:type="dxa"/>
                    <w:right w:w="150" w:type="dxa"/>
                  </w:tcMar>
                </w:tcPr>
                <w:p w14:paraId="2706BF27" w14:textId="77777777" w:rsidR="0065583F" w:rsidRDefault="0065583F">
                  <w:pPr>
                    <w:rPr>
                      <w:rFonts w:ascii="Arial" w:hAnsi="Arial" w:cs="Arial"/>
                      <w:sz w:val="18"/>
                      <w:szCs w:val="18"/>
                    </w:rPr>
                  </w:pPr>
                </w:p>
              </w:tc>
            </w:tr>
          </w:tbl>
          <w:p w14:paraId="55B594DE" w14:textId="77777777" w:rsidR="0065583F" w:rsidRDefault="0065583F">
            <w:pPr>
              <w:rPr>
                <w:rFonts w:ascii="Times New Roman" w:eastAsia="Times New Roman" w:hAnsi="Times New Roman" w:cs="Times New Roman"/>
                <w:sz w:val="20"/>
                <w:szCs w:val="20"/>
              </w:rPr>
            </w:pPr>
          </w:p>
        </w:tc>
      </w:tr>
    </w:tbl>
    <w:p w14:paraId="56502B91" w14:textId="77777777" w:rsidR="00AF29A6" w:rsidRDefault="00AF29A6"/>
    <w:sectPr w:rsidR="00AF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769C6"/>
    <w:multiLevelType w:val="multilevel"/>
    <w:tmpl w:val="50C0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3F"/>
    <w:rsid w:val="0065583F"/>
    <w:rsid w:val="006B66BC"/>
    <w:rsid w:val="00A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133C"/>
  <w15:chartTrackingRefBased/>
  <w15:docId w15:val="{F03EF2F9-CA1A-4BBF-9D00-4EBFF61F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83F"/>
    <w:rPr>
      <w:color w:val="0000FF"/>
      <w:u w:val="single"/>
    </w:rPr>
  </w:style>
  <w:style w:type="paragraph" w:styleId="NormalWeb">
    <w:name w:val="Normal (Web)"/>
    <w:basedOn w:val="Normal"/>
    <w:uiPriority w:val="99"/>
    <w:semiHidden/>
    <w:unhideWhenUsed/>
    <w:rsid w:val="0065583F"/>
    <w:pPr>
      <w:spacing w:before="100" w:beforeAutospacing="1" w:after="100" w:afterAutospacing="1"/>
    </w:pPr>
  </w:style>
  <w:style w:type="character" w:styleId="Strong">
    <w:name w:val="Strong"/>
    <w:basedOn w:val="DefaultParagraphFont"/>
    <w:uiPriority w:val="22"/>
    <w:qFormat/>
    <w:rsid w:val="00655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ubabenefits.com/link.cfm?r=UtBPvZ-3oa_sFzlAN7h-Ow~~&amp;pe=hpmuKyf3arsnnj7njLlL4iuFq46H7CDNXHeedmzrcU6qpoZCH_jHFIHV2tppIx1wfICywl6qPjbzJ1atK9SSIg~~&amp;t=llHUfE9JyyPcGRSf4JkaW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Dennis</dc:creator>
  <cp:keywords/>
  <dc:description/>
  <cp:lastModifiedBy>Danielle Dennis</cp:lastModifiedBy>
  <cp:revision>2</cp:revision>
  <dcterms:created xsi:type="dcterms:W3CDTF">2020-09-10T14:38:00Z</dcterms:created>
  <dcterms:modified xsi:type="dcterms:W3CDTF">2020-09-10T19:05:00Z</dcterms:modified>
</cp:coreProperties>
</file>